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6" w:rsidRPr="00EE7C2E" w:rsidRDefault="00094706" w:rsidP="00094706">
      <w:pPr>
        <w:ind w:left="7370" w:hanging="7371"/>
        <w:rPr>
          <w:sz w:val="24"/>
          <w:szCs w:val="24"/>
          <w:rtl/>
        </w:rPr>
      </w:pPr>
    </w:p>
    <w:p w:rsidR="00094706" w:rsidRPr="00EE7C2E" w:rsidRDefault="00094706" w:rsidP="00094706">
      <w:pPr>
        <w:ind w:left="7370" w:hanging="7371"/>
        <w:rPr>
          <w:sz w:val="24"/>
          <w:szCs w:val="24"/>
          <w:rtl/>
        </w:rPr>
      </w:pPr>
    </w:p>
    <w:p w:rsidR="00B11594" w:rsidRDefault="00B11594" w:rsidP="00705800">
      <w:pPr>
        <w:spacing w:line="360" w:lineRule="auto"/>
        <w:ind w:left="7370" w:firstLine="0"/>
        <w:rPr>
          <w:sz w:val="24"/>
          <w:szCs w:val="24"/>
          <w:rtl/>
        </w:rPr>
      </w:pPr>
      <w:bookmarkStart w:id="0" w:name="Date"/>
      <w:bookmarkEnd w:id="0"/>
      <w:r>
        <w:rPr>
          <w:sz w:val="24"/>
          <w:szCs w:val="24"/>
          <w:rtl/>
        </w:rPr>
        <w:t xml:space="preserve">כ"ז בטבת </w:t>
      </w:r>
      <w:proofErr w:type="spellStart"/>
      <w:r>
        <w:rPr>
          <w:sz w:val="24"/>
          <w:szCs w:val="24"/>
          <w:rtl/>
        </w:rPr>
        <w:t>התשע"ה</w:t>
      </w:r>
      <w:proofErr w:type="spellEnd"/>
      <w:r>
        <w:rPr>
          <w:sz w:val="24"/>
          <w:szCs w:val="24"/>
          <w:rtl/>
        </w:rPr>
        <w:br/>
        <w:t>18 בינואר 2015</w:t>
      </w:r>
    </w:p>
    <w:p w:rsidR="00B11594" w:rsidRDefault="00B11594" w:rsidP="00705800">
      <w:pPr>
        <w:spacing w:line="360" w:lineRule="auto"/>
        <w:ind w:left="7370" w:firstLine="0"/>
        <w:rPr>
          <w:sz w:val="24"/>
          <w:szCs w:val="24"/>
          <w:rtl/>
        </w:rPr>
      </w:pPr>
      <w:bookmarkStart w:id="1" w:name="DocNum"/>
      <w:bookmarkEnd w:id="1"/>
      <w:r>
        <w:rPr>
          <w:sz w:val="24"/>
          <w:szCs w:val="24"/>
          <w:rtl/>
        </w:rPr>
        <w:t xml:space="preserve">שה. </w:t>
      </w:r>
      <w:bookmarkStart w:id="2" w:name="_GoBack"/>
      <w:r>
        <w:rPr>
          <w:sz w:val="24"/>
          <w:szCs w:val="24"/>
          <w:rtl/>
        </w:rPr>
        <w:t>2015-1043</w:t>
      </w:r>
      <w:bookmarkEnd w:id="2"/>
    </w:p>
    <w:p w:rsidR="00094706" w:rsidRPr="00EE7C2E" w:rsidRDefault="00094706" w:rsidP="00094706">
      <w:pPr>
        <w:ind w:firstLine="0"/>
        <w:rPr>
          <w:sz w:val="24"/>
          <w:szCs w:val="24"/>
          <w:rtl/>
        </w:rPr>
      </w:pPr>
    </w:p>
    <w:p w:rsidR="00094706" w:rsidRPr="00EE7C2E" w:rsidRDefault="00094706" w:rsidP="00094706">
      <w:pPr>
        <w:ind w:firstLine="0"/>
        <w:rPr>
          <w:sz w:val="24"/>
          <w:szCs w:val="24"/>
          <w:rtl/>
        </w:rPr>
      </w:pPr>
    </w:p>
    <w:p w:rsidR="00B11594" w:rsidRDefault="00B11594" w:rsidP="00094706">
      <w:pPr>
        <w:ind w:firstLine="0"/>
        <w:rPr>
          <w:sz w:val="24"/>
          <w:szCs w:val="24"/>
          <w:rtl/>
        </w:rPr>
      </w:pPr>
      <w:bookmarkStart w:id="3" w:name="MainTo"/>
      <w:bookmarkEnd w:id="3"/>
    </w:p>
    <w:p w:rsidR="00C4367D" w:rsidRDefault="00B11594" w:rsidP="008C6EFB">
      <w:pPr>
        <w:spacing w:line="360" w:lineRule="auto"/>
        <w:ind w:left="753" w:hanging="753"/>
        <w:jc w:val="center"/>
        <w:rPr>
          <w:b/>
          <w:bCs/>
          <w:sz w:val="24"/>
          <w:szCs w:val="24"/>
          <w:u w:val="single"/>
          <w:rtl/>
        </w:rPr>
      </w:pPr>
      <w:bookmarkStart w:id="4" w:name="About"/>
      <w:bookmarkEnd w:id="4"/>
      <w:r>
        <w:rPr>
          <w:b/>
          <w:bCs/>
          <w:sz w:val="24"/>
          <w:szCs w:val="24"/>
          <w:u w:val="single"/>
          <w:rtl/>
        </w:rPr>
        <w:t>עמדת ממונה: תשלום גוף מוסדי לבעל רישיון</w:t>
      </w:r>
    </w:p>
    <w:p w:rsidR="00094706" w:rsidRPr="00EE7C2E" w:rsidRDefault="00094706" w:rsidP="00094706">
      <w:pPr>
        <w:ind w:left="753" w:firstLine="0"/>
        <w:rPr>
          <w:b/>
          <w:bCs/>
          <w:sz w:val="24"/>
          <w:szCs w:val="24"/>
          <w:rtl/>
        </w:rPr>
      </w:pPr>
    </w:p>
    <w:p w:rsidR="00A458F5" w:rsidRDefault="00A458F5" w:rsidP="006F2FF9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</w:p>
    <w:p w:rsidR="00687332" w:rsidRDefault="00A458F5" w:rsidP="009870E8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9870E8">
        <w:rPr>
          <w:rFonts w:hint="cs"/>
          <w:sz w:val="24"/>
          <w:szCs w:val="24"/>
          <w:rtl/>
        </w:rPr>
        <w:t xml:space="preserve">הוראות דין שונות </w:t>
      </w:r>
      <w:r>
        <w:rPr>
          <w:rFonts w:hint="cs"/>
          <w:sz w:val="24"/>
          <w:szCs w:val="24"/>
          <w:rtl/>
        </w:rPr>
        <w:t xml:space="preserve">נקבע שלגופים המוסדיים ולבעלי הרישיון ישנן חובות נאמנות כלפי לקוחותיהם. כך, </w:t>
      </w:r>
      <w:r w:rsidR="00687332">
        <w:rPr>
          <w:rFonts w:hint="cs"/>
          <w:sz w:val="24"/>
          <w:szCs w:val="24"/>
          <w:rtl/>
        </w:rPr>
        <w:t>סעי</w:t>
      </w:r>
      <w:r w:rsidR="00B43EFB">
        <w:rPr>
          <w:rFonts w:hint="cs"/>
          <w:sz w:val="24"/>
          <w:szCs w:val="24"/>
          <w:rtl/>
        </w:rPr>
        <w:t>ף</w:t>
      </w:r>
      <w:r w:rsidR="00687332">
        <w:rPr>
          <w:rFonts w:hint="cs"/>
          <w:sz w:val="24"/>
          <w:szCs w:val="24"/>
          <w:rtl/>
        </w:rPr>
        <w:t xml:space="preserve"> 3 לחוק הפיקוח על שירותים פיננסיים (קופות גמל), התשס"ה-2005</w:t>
      </w:r>
      <w:r w:rsidR="009870E8">
        <w:rPr>
          <w:rFonts w:hint="cs"/>
          <w:sz w:val="24"/>
          <w:szCs w:val="24"/>
          <w:rtl/>
        </w:rPr>
        <w:t>,</w:t>
      </w:r>
      <w:r w:rsidR="00687332">
        <w:rPr>
          <w:rFonts w:hint="cs"/>
          <w:sz w:val="24"/>
          <w:szCs w:val="24"/>
          <w:rtl/>
        </w:rPr>
        <w:t xml:space="preserve"> </w:t>
      </w:r>
      <w:r w:rsidR="000C4589">
        <w:rPr>
          <w:rFonts w:hint="cs"/>
          <w:sz w:val="24"/>
          <w:szCs w:val="24"/>
          <w:rtl/>
        </w:rPr>
        <w:t>ק</w:t>
      </w:r>
      <w:r w:rsidR="008C6EFB">
        <w:rPr>
          <w:rFonts w:hint="cs"/>
          <w:sz w:val="24"/>
          <w:szCs w:val="24"/>
          <w:rtl/>
        </w:rPr>
        <w:t>ו</w:t>
      </w:r>
      <w:r w:rsidR="000C4589">
        <w:rPr>
          <w:rFonts w:hint="cs"/>
          <w:sz w:val="24"/>
          <w:szCs w:val="24"/>
          <w:rtl/>
        </w:rPr>
        <w:t>בע</w:t>
      </w:r>
      <w:r w:rsidR="00B43EFB">
        <w:rPr>
          <w:rFonts w:hint="cs"/>
          <w:sz w:val="24"/>
          <w:szCs w:val="24"/>
          <w:rtl/>
        </w:rPr>
        <w:t xml:space="preserve"> שחברה מנהלת מחויבת לפעול באמונה ובשקידה לטובת כל אחד מהעמיתים ולא תעדיף כל ענין וכל שיקול על פני טובתם. סעיף 56 לחוק האמור </w:t>
      </w:r>
      <w:r w:rsidR="000B7B88">
        <w:rPr>
          <w:rFonts w:hint="cs"/>
          <w:sz w:val="24"/>
          <w:szCs w:val="24"/>
          <w:rtl/>
        </w:rPr>
        <w:t>מחיל חובה זו גם על ק</w:t>
      </w:r>
      <w:r w:rsidR="00B57BA2">
        <w:rPr>
          <w:rFonts w:hint="cs"/>
          <w:sz w:val="24"/>
          <w:szCs w:val="24"/>
          <w:rtl/>
        </w:rPr>
        <w:t>ו</w:t>
      </w:r>
      <w:r w:rsidR="000B7B88">
        <w:rPr>
          <w:rFonts w:hint="cs"/>
          <w:sz w:val="24"/>
          <w:szCs w:val="24"/>
          <w:rtl/>
        </w:rPr>
        <w:t xml:space="preserve">פת ביטוח </w:t>
      </w:r>
      <w:r w:rsidR="006F2FF9">
        <w:rPr>
          <w:rFonts w:hint="cs"/>
          <w:sz w:val="24"/>
          <w:szCs w:val="24"/>
          <w:rtl/>
        </w:rPr>
        <w:t>(</w:t>
      </w:r>
      <w:r w:rsidR="008C286C">
        <w:rPr>
          <w:rFonts w:hint="cs"/>
          <w:sz w:val="24"/>
          <w:szCs w:val="24"/>
          <w:rtl/>
        </w:rPr>
        <w:t>למעט קופת ביטוח שהיא קופת גמל בניהול אישי</w:t>
      </w:r>
      <w:r w:rsidR="006F2FF9">
        <w:rPr>
          <w:rFonts w:hint="cs"/>
          <w:sz w:val="24"/>
          <w:szCs w:val="24"/>
          <w:rtl/>
        </w:rPr>
        <w:t xml:space="preserve">) </w:t>
      </w:r>
      <w:r w:rsidR="006F2FF9" w:rsidRPr="00376217">
        <w:rPr>
          <w:rFonts w:hint="cs"/>
          <w:sz w:val="24"/>
          <w:szCs w:val="24"/>
          <w:rtl/>
        </w:rPr>
        <w:t>ועל</w:t>
      </w:r>
      <w:r w:rsidR="006F2FF9" w:rsidRPr="00376217">
        <w:rPr>
          <w:sz w:val="24"/>
          <w:szCs w:val="24"/>
        </w:rPr>
        <w:t xml:space="preserve"> </w:t>
      </w:r>
      <w:r w:rsidR="006F2FF9" w:rsidRPr="00376217">
        <w:rPr>
          <w:rFonts w:hint="cs"/>
          <w:sz w:val="24"/>
          <w:szCs w:val="24"/>
          <w:rtl/>
        </w:rPr>
        <w:t>מבטחים</w:t>
      </w:r>
      <w:r w:rsidR="006F2FF9" w:rsidRPr="00376217">
        <w:rPr>
          <w:sz w:val="24"/>
          <w:szCs w:val="24"/>
        </w:rPr>
        <w:t xml:space="preserve"> </w:t>
      </w:r>
      <w:r w:rsidR="006F2FF9" w:rsidRPr="00376217">
        <w:rPr>
          <w:rFonts w:hint="cs"/>
          <w:sz w:val="24"/>
          <w:szCs w:val="24"/>
          <w:rtl/>
        </w:rPr>
        <w:t>המנהל</w:t>
      </w:r>
      <w:r w:rsidR="006F2FF9">
        <w:rPr>
          <w:rFonts w:hint="cs"/>
          <w:sz w:val="24"/>
          <w:szCs w:val="24"/>
          <w:rtl/>
        </w:rPr>
        <w:t>ים</w:t>
      </w:r>
      <w:r w:rsidR="006F2FF9" w:rsidRPr="00376217">
        <w:rPr>
          <w:sz w:val="24"/>
          <w:szCs w:val="24"/>
        </w:rPr>
        <w:t xml:space="preserve"> </w:t>
      </w:r>
      <w:r w:rsidR="006F2FF9" w:rsidRPr="00376217">
        <w:rPr>
          <w:rFonts w:hint="cs"/>
          <w:sz w:val="24"/>
          <w:szCs w:val="24"/>
          <w:rtl/>
        </w:rPr>
        <w:t>קופות</w:t>
      </w:r>
      <w:r w:rsidR="006F2FF9" w:rsidRPr="00376217">
        <w:rPr>
          <w:sz w:val="24"/>
          <w:szCs w:val="24"/>
        </w:rPr>
        <w:t xml:space="preserve"> </w:t>
      </w:r>
      <w:r w:rsidR="006F2FF9" w:rsidRPr="00376217">
        <w:rPr>
          <w:rFonts w:hint="cs"/>
          <w:sz w:val="24"/>
          <w:szCs w:val="24"/>
          <w:rtl/>
        </w:rPr>
        <w:t>כאמור</w:t>
      </w:r>
      <w:r w:rsidR="000B7B88">
        <w:rPr>
          <w:rFonts w:hint="cs"/>
          <w:sz w:val="24"/>
          <w:szCs w:val="24"/>
          <w:rtl/>
        </w:rPr>
        <w:t xml:space="preserve">. </w:t>
      </w:r>
    </w:p>
    <w:p w:rsidR="00C75F7C" w:rsidRDefault="00C75F7C" w:rsidP="000B7B88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</w:p>
    <w:p w:rsidR="000B7B88" w:rsidRDefault="00C75F7C" w:rsidP="0037116D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סעיף 15 לחוק הפיקוח על שירותים פנסיוניים (ייעוץ, שיווק </w:t>
      </w:r>
      <w:r w:rsidR="0037116D">
        <w:rPr>
          <w:rFonts w:hint="cs"/>
          <w:sz w:val="24"/>
          <w:szCs w:val="24"/>
          <w:rtl/>
        </w:rPr>
        <w:t xml:space="preserve">ומערכת סליקה פנסיוניים), </w:t>
      </w:r>
      <w:proofErr w:type="spellStart"/>
      <w:r w:rsidR="0037116D">
        <w:rPr>
          <w:rFonts w:hint="cs"/>
          <w:sz w:val="24"/>
          <w:szCs w:val="24"/>
          <w:rtl/>
        </w:rPr>
        <w:t>התשס"ה</w:t>
      </w:r>
      <w:proofErr w:type="spellEnd"/>
      <w:r w:rsidR="0037116D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2005</w:t>
      </w:r>
      <w:r w:rsidR="00781298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קובע שבעל ר</w:t>
      </w:r>
      <w:r w:rsidR="006F2FF9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שיון יפעל לטובת לקוחותיו באמונה ובשקידה ולא יעדיף את ענייניו האישיים על פני טובת לקוחותיו, </w:t>
      </w:r>
      <w:r w:rsidR="006F2FF9">
        <w:rPr>
          <w:rFonts w:hint="cs"/>
          <w:sz w:val="24"/>
          <w:szCs w:val="24"/>
          <w:rtl/>
        </w:rPr>
        <w:t xml:space="preserve">למעט העדפה של מוצר פנסיוני שלסוכן פנסיוני זיקה אליו. </w:t>
      </w:r>
    </w:p>
    <w:p w:rsidR="00C75F7C" w:rsidRPr="00804FF1" w:rsidRDefault="00C75F7C" w:rsidP="000B7B88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</w:p>
    <w:p w:rsidR="000B7B88" w:rsidRDefault="003A0370" w:rsidP="001B3783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עקב מספר </w:t>
      </w:r>
      <w:r w:rsidR="000B7B88">
        <w:rPr>
          <w:rFonts w:hint="cs"/>
          <w:sz w:val="24"/>
          <w:szCs w:val="24"/>
          <w:rtl/>
        </w:rPr>
        <w:t>פניות שה</w:t>
      </w:r>
      <w:r>
        <w:rPr>
          <w:rFonts w:hint="cs"/>
          <w:sz w:val="24"/>
          <w:szCs w:val="24"/>
          <w:rtl/>
        </w:rPr>
        <w:t xml:space="preserve">ופנו </w:t>
      </w:r>
      <w:r w:rsidR="000B7B88">
        <w:rPr>
          <w:rFonts w:hint="cs"/>
          <w:sz w:val="24"/>
          <w:szCs w:val="24"/>
          <w:rtl/>
        </w:rPr>
        <w:t>לאגף שוק ההון, ביטוח וחיסכון</w:t>
      </w:r>
      <w:r>
        <w:rPr>
          <w:rFonts w:hint="cs"/>
          <w:sz w:val="24"/>
          <w:szCs w:val="24"/>
          <w:rtl/>
        </w:rPr>
        <w:t>,</w:t>
      </w:r>
      <w:r w:rsidR="000B7B8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נבחנו </w:t>
      </w:r>
      <w:r w:rsidR="00453DBD">
        <w:rPr>
          <w:rFonts w:hint="cs"/>
          <w:sz w:val="24"/>
          <w:szCs w:val="24"/>
          <w:rtl/>
        </w:rPr>
        <w:t xml:space="preserve">לאחרונה </w:t>
      </w:r>
      <w:r>
        <w:rPr>
          <w:rFonts w:hint="cs"/>
          <w:sz w:val="24"/>
          <w:szCs w:val="24"/>
          <w:rtl/>
        </w:rPr>
        <w:t>מספר חוזים של גופים מוסדיים עם בעלי רישיון</w:t>
      </w:r>
      <w:r w:rsidR="001B3783">
        <w:rPr>
          <w:rFonts w:hint="cs"/>
          <w:sz w:val="24"/>
          <w:szCs w:val="24"/>
          <w:rtl/>
        </w:rPr>
        <w:t xml:space="preserve">, ונמצא כי </w:t>
      </w:r>
      <w:r w:rsidR="000B7B88">
        <w:rPr>
          <w:rFonts w:hint="cs"/>
          <w:sz w:val="24"/>
          <w:szCs w:val="24"/>
          <w:rtl/>
        </w:rPr>
        <w:t>גופים מוסדיים נוהגים לשלם לבעלי רישיון דמי עמילות שנגזרים מדמי הניהול שמשלם העמית</w:t>
      </w:r>
      <w:r w:rsidR="00A458F5">
        <w:rPr>
          <w:rFonts w:hint="cs"/>
          <w:sz w:val="24"/>
          <w:szCs w:val="24"/>
          <w:rtl/>
        </w:rPr>
        <w:t xml:space="preserve"> או המבוטח</w:t>
      </w:r>
      <w:r w:rsidR="000B7B88">
        <w:rPr>
          <w:rFonts w:hint="cs"/>
          <w:sz w:val="24"/>
          <w:szCs w:val="24"/>
          <w:rtl/>
        </w:rPr>
        <w:t>.</w:t>
      </w:r>
      <w:r w:rsidR="00512009">
        <w:rPr>
          <w:rFonts w:hint="cs"/>
          <w:sz w:val="24"/>
          <w:szCs w:val="24"/>
          <w:rtl/>
        </w:rPr>
        <w:t xml:space="preserve"> בהתאם לחוזים אלה, דמי העמילות שישולמו לבעל הרישיון יהיו גבוהים יותר ככל שדמי הניהול שישלם הלקוח יהיו גבוהים יותר. </w:t>
      </w:r>
    </w:p>
    <w:p w:rsidR="000B7B88" w:rsidRDefault="000B7B88" w:rsidP="00687332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</w:p>
    <w:p w:rsidR="0034683A" w:rsidRDefault="009870E8" w:rsidP="00681339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תשלום דמי עמילות באופן האמור, שמ</w:t>
      </w:r>
      <w:r w:rsidR="00512009">
        <w:rPr>
          <w:rFonts w:hint="cs"/>
          <w:sz w:val="24"/>
          <w:szCs w:val="24"/>
          <w:rtl/>
        </w:rPr>
        <w:t xml:space="preserve">עודד בעלי רישיון להציע ללקוחות מוצרים בדמי ניהול גבוהים יותר, </w:t>
      </w:r>
      <w:r w:rsidR="00C75F7C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ו</w:t>
      </w:r>
      <w:r w:rsidR="00C75F7C">
        <w:rPr>
          <w:rFonts w:hint="cs"/>
          <w:sz w:val="24"/>
          <w:szCs w:val="24"/>
          <w:rtl/>
        </w:rPr>
        <w:t>א פ</w:t>
      </w:r>
      <w:r>
        <w:rPr>
          <w:rFonts w:hint="cs"/>
          <w:sz w:val="24"/>
          <w:szCs w:val="24"/>
          <w:rtl/>
        </w:rPr>
        <w:t>סול ו</w:t>
      </w:r>
      <w:r w:rsidR="00C75F7C">
        <w:rPr>
          <w:rFonts w:hint="cs"/>
          <w:sz w:val="24"/>
          <w:szCs w:val="24"/>
          <w:rtl/>
        </w:rPr>
        <w:t>אינ</w:t>
      </w:r>
      <w:r>
        <w:rPr>
          <w:rFonts w:hint="cs"/>
          <w:sz w:val="24"/>
          <w:szCs w:val="24"/>
          <w:rtl/>
        </w:rPr>
        <w:t>ו</w:t>
      </w:r>
      <w:r w:rsidR="00C75F7C">
        <w:rPr>
          <w:rFonts w:hint="cs"/>
          <w:sz w:val="24"/>
          <w:szCs w:val="24"/>
          <w:rtl/>
        </w:rPr>
        <w:t xml:space="preserve"> עולה בקנה אחד עם חובת הנאמנות שמוטלת </w:t>
      </w:r>
      <w:r w:rsidR="00453DBD">
        <w:rPr>
          <w:rFonts w:hint="cs"/>
          <w:sz w:val="24"/>
          <w:szCs w:val="24"/>
          <w:rtl/>
        </w:rPr>
        <w:t xml:space="preserve">הן </w:t>
      </w:r>
      <w:r w:rsidR="00C75F7C">
        <w:rPr>
          <w:rFonts w:hint="cs"/>
          <w:sz w:val="24"/>
          <w:szCs w:val="24"/>
          <w:rtl/>
        </w:rPr>
        <w:t xml:space="preserve">על הגופים המוסדיים </w:t>
      </w:r>
      <w:r w:rsidR="0034683A">
        <w:rPr>
          <w:rFonts w:hint="cs"/>
          <w:sz w:val="24"/>
          <w:szCs w:val="24"/>
          <w:rtl/>
        </w:rPr>
        <w:t>ו</w:t>
      </w:r>
      <w:r w:rsidR="00453DBD">
        <w:rPr>
          <w:rFonts w:hint="cs"/>
          <w:sz w:val="24"/>
          <w:szCs w:val="24"/>
          <w:rtl/>
        </w:rPr>
        <w:t xml:space="preserve">הן </w:t>
      </w:r>
      <w:r w:rsidR="0034683A">
        <w:rPr>
          <w:rFonts w:hint="cs"/>
          <w:sz w:val="24"/>
          <w:szCs w:val="24"/>
          <w:rtl/>
        </w:rPr>
        <w:t>על בעלי הר</w:t>
      </w:r>
      <w:r w:rsidR="006F2FF9">
        <w:rPr>
          <w:rFonts w:hint="cs"/>
          <w:sz w:val="24"/>
          <w:szCs w:val="24"/>
          <w:rtl/>
        </w:rPr>
        <w:t>י</w:t>
      </w:r>
      <w:r w:rsidR="0034683A">
        <w:rPr>
          <w:rFonts w:hint="cs"/>
          <w:sz w:val="24"/>
          <w:szCs w:val="24"/>
          <w:rtl/>
        </w:rPr>
        <w:t>שיונות</w:t>
      </w:r>
      <w:r w:rsidR="006F2FF9">
        <w:rPr>
          <w:rFonts w:hint="cs"/>
          <w:sz w:val="24"/>
          <w:szCs w:val="24"/>
          <w:rtl/>
        </w:rPr>
        <w:t xml:space="preserve"> </w:t>
      </w:r>
      <w:r w:rsidR="00A458F5">
        <w:rPr>
          <w:rFonts w:hint="cs"/>
          <w:sz w:val="24"/>
          <w:szCs w:val="24"/>
          <w:rtl/>
        </w:rPr>
        <w:t>בהתאם להוראות שפורטו לעיל</w:t>
      </w:r>
      <w:r w:rsidR="00A52C53">
        <w:rPr>
          <w:rFonts w:hint="cs"/>
          <w:sz w:val="24"/>
          <w:szCs w:val="24"/>
          <w:rtl/>
        </w:rPr>
        <w:t xml:space="preserve">. הגופים המוסדיים ובעלי הרישיון מחויבים </w:t>
      </w:r>
      <w:r w:rsidR="0034683A">
        <w:rPr>
          <w:rFonts w:hint="cs"/>
          <w:sz w:val="24"/>
          <w:szCs w:val="24"/>
          <w:rtl/>
        </w:rPr>
        <w:t xml:space="preserve">לדאוג לטובת לקוחותיהם </w:t>
      </w:r>
      <w:r w:rsidR="00512009">
        <w:rPr>
          <w:rFonts w:hint="cs"/>
          <w:sz w:val="24"/>
          <w:szCs w:val="24"/>
          <w:rtl/>
        </w:rPr>
        <w:t xml:space="preserve">ולא להעדיף כל עניין אחר, לרבות רווחיהם האישיים, על פני טובתם. </w:t>
      </w:r>
    </w:p>
    <w:p w:rsidR="00C75F7C" w:rsidRDefault="00C75F7C" w:rsidP="00687332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</w:p>
    <w:p w:rsidR="00094706" w:rsidRPr="00EE7C2E" w:rsidRDefault="00094706" w:rsidP="00804FF1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  <w:bookmarkStart w:id="5" w:name="Start"/>
      <w:bookmarkEnd w:id="5"/>
    </w:p>
    <w:p w:rsidR="00094706" w:rsidRPr="00EE7C2E" w:rsidRDefault="00094706" w:rsidP="00804FF1">
      <w:pPr>
        <w:spacing w:line="360" w:lineRule="auto"/>
        <w:ind w:left="282" w:right="567" w:firstLine="0"/>
        <w:jc w:val="both"/>
        <w:rPr>
          <w:sz w:val="24"/>
          <w:szCs w:val="24"/>
          <w:rtl/>
        </w:rPr>
      </w:pPr>
    </w:p>
    <w:p w:rsidR="00094706" w:rsidRPr="00EE7C2E" w:rsidRDefault="00094706" w:rsidP="00094706">
      <w:pPr>
        <w:ind w:firstLine="0"/>
        <w:rPr>
          <w:b/>
          <w:bCs/>
          <w:sz w:val="24"/>
          <w:szCs w:val="24"/>
          <w:u w:val="single"/>
          <w:rtl/>
        </w:rPr>
      </w:pPr>
    </w:p>
    <w:p w:rsidR="00094706" w:rsidRPr="00EE7C2E" w:rsidRDefault="002942E4" w:rsidP="001B3783">
      <w:pPr>
        <w:tabs>
          <w:tab w:val="center" w:pos="4535"/>
          <w:tab w:val="center" w:pos="7370"/>
        </w:tabs>
        <w:ind w:firstLine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094706" w:rsidRPr="00EE7C2E">
        <w:rPr>
          <w:sz w:val="24"/>
          <w:szCs w:val="24"/>
          <w:rtl/>
        </w:rPr>
        <w:t>ב</w:t>
      </w:r>
      <w:r w:rsidR="00094706" w:rsidRPr="00EE7C2E">
        <w:rPr>
          <w:rFonts w:hint="cs"/>
          <w:sz w:val="24"/>
          <w:szCs w:val="24"/>
          <w:rtl/>
        </w:rPr>
        <w:t>כבוד רב</w:t>
      </w:r>
      <w:r w:rsidR="00094706" w:rsidRPr="00EE7C2E">
        <w:rPr>
          <w:sz w:val="24"/>
          <w:szCs w:val="24"/>
          <w:rtl/>
        </w:rPr>
        <w:t>,</w:t>
      </w:r>
    </w:p>
    <w:p w:rsidR="00094706" w:rsidRPr="00EE7C2E" w:rsidRDefault="00094706" w:rsidP="002942E4">
      <w:pPr>
        <w:tabs>
          <w:tab w:val="center" w:pos="4535"/>
          <w:tab w:val="center" w:pos="7370"/>
        </w:tabs>
        <w:ind w:firstLine="0"/>
        <w:rPr>
          <w:sz w:val="24"/>
          <w:szCs w:val="24"/>
          <w:rtl/>
        </w:rPr>
      </w:pPr>
    </w:p>
    <w:p w:rsidR="009E7447" w:rsidRPr="00EE7C2E" w:rsidRDefault="009E7447" w:rsidP="002942E4">
      <w:pPr>
        <w:tabs>
          <w:tab w:val="center" w:pos="4535"/>
          <w:tab w:val="center" w:pos="7370"/>
        </w:tabs>
        <w:ind w:firstLine="0"/>
        <w:rPr>
          <w:sz w:val="24"/>
          <w:szCs w:val="24"/>
          <w:rtl/>
        </w:rPr>
      </w:pPr>
    </w:p>
    <w:p w:rsidR="00B11594" w:rsidRDefault="00B11594" w:rsidP="00273D48">
      <w:pPr>
        <w:tabs>
          <w:tab w:val="center" w:pos="4535"/>
          <w:tab w:val="center" w:pos="7370"/>
        </w:tabs>
        <w:spacing w:line="360" w:lineRule="auto"/>
        <w:ind w:left="49" w:firstLine="0"/>
        <w:rPr>
          <w:sz w:val="24"/>
          <w:szCs w:val="24"/>
          <w:rtl/>
        </w:rPr>
      </w:pPr>
      <w:bookmarkStart w:id="6" w:name="SignedBy"/>
      <w:bookmarkEnd w:id="6"/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דורית </w:t>
      </w:r>
      <w:proofErr w:type="spellStart"/>
      <w:r>
        <w:rPr>
          <w:sz w:val="24"/>
          <w:szCs w:val="24"/>
          <w:rtl/>
        </w:rPr>
        <w:t>סלינגר</w:t>
      </w:r>
      <w:proofErr w:type="spellEnd"/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הממונה על שוק ההון ביטוח וחיסכון</w:t>
      </w:r>
    </w:p>
    <w:p w:rsidR="00190477" w:rsidRDefault="00190477" w:rsidP="00681339">
      <w:pPr>
        <w:tabs>
          <w:tab w:val="center" w:pos="4535"/>
          <w:tab w:val="center" w:pos="7370"/>
        </w:tabs>
        <w:spacing w:line="360" w:lineRule="auto"/>
        <w:ind w:left="49" w:firstLine="0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D24A2A" w:rsidRPr="00EE7C2E" w:rsidRDefault="00D24A2A" w:rsidP="00273D48">
      <w:pPr>
        <w:tabs>
          <w:tab w:val="center" w:pos="3273"/>
          <w:tab w:val="center" w:pos="4535"/>
          <w:tab w:val="center" w:pos="6873"/>
          <w:tab w:val="center" w:pos="7370"/>
        </w:tabs>
        <w:spacing w:line="360" w:lineRule="auto"/>
        <w:ind w:firstLine="0"/>
        <w:rPr>
          <w:sz w:val="24"/>
          <w:szCs w:val="24"/>
          <w:rtl/>
        </w:rPr>
      </w:pPr>
    </w:p>
    <w:p w:rsidR="00094706" w:rsidRPr="00EE7C2E" w:rsidRDefault="00094706" w:rsidP="00376217">
      <w:pPr>
        <w:spacing w:line="300" w:lineRule="auto"/>
        <w:ind w:firstLine="0"/>
        <w:rPr>
          <w:sz w:val="24"/>
          <w:szCs w:val="24"/>
          <w:rtl/>
        </w:rPr>
      </w:pPr>
      <w:bookmarkStart w:id="7" w:name="OtherTo"/>
      <w:bookmarkEnd w:id="7"/>
    </w:p>
    <w:sectPr w:rsidR="00094706" w:rsidRPr="00EE7C2E" w:rsidSect="00094706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20" w:footer="158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56" w:rsidRDefault="00A90C56" w:rsidP="00094706">
      <w:r>
        <w:separator/>
      </w:r>
    </w:p>
  </w:endnote>
  <w:endnote w:type="continuationSeparator" w:id="0">
    <w:p w:rsidR="00A90C56" w:rsidRDefault="00A90C56" w:rsidP="000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E6" w:rsidRPr="00094706" w:rsidRDefault="00094706" w:rsidP="00094706">
    <w:pPr>
      <w:pStyle w:val="NormalWeb"/>
      <w:pBdr>
        <w:top w:val="single" w:sz="6" w:space="1" w:color="auto"/>
      </w:pBdr>
      <w:tabs>
        <w:tab w:val="center" w:pos="4822"/>
        <w:tab w:val="right" w:pos="9624"/>
      </w:tabs>
      <w:bidi/>
      <w:ind w:firstLine="11"/>
      <w:jc w:val="both"/>
      <w:rPr>
        <w:rFonts w:cs="David"/>
      </w:rPr>
    </w:pPr>
    <w:r>
      <w:rPr>
        <w:rFonts w:cs="David" w:hint="cs"/>
        <w:sz w:val="20"/>
        <w:rtl/>
      </w:rPr>
      <w:t xml:space="preserve">רח' קפלן 1 ירושלים </w:t>
    </w:r>
    <w:r w:rsidR="00B7265B">
      <w:rPr>
        <w:rFonts w:cs="David" w:hint="cs"/>
        <w:sz w:val="20"/>
        <w:rtl/>
      </w:rPr>
      <w:t>9103002</w:t>
    </w:r>
    <w:r>
      <w:rPr>
        <w:rFonts w:cs="David" w:hint="cs"/>
        <w:sz w:val="20"/>
        <w:rtl/>
      </w:rPr>
      <w:t xml:space="preserve"> ת.ד 3100 טל': 02-5317200 02 פקס': 02-5695335</w:t>
    </w:r>
    <w:r>
      <w:rPr>
        <w:rFonts w:cs="David" w:hint="cs"/>
        <w:sz w:val="20"/>
        <w:rtl/>
      </w:rPr>
      <w:br/>
      <w:t xml:space="preserve">אוצר ברשת: </w:t>
    </w:r>
    <w:hyperlink r:id="rId1" w:history="1">
      <w:r>
        <w:rPr>
          <w:rStyle w:val="Hyperlink"/>
          <w:rFonts w:hint="cs"/>
        </w:rPr>
        <w:t>www.mof.gov.il</w:t>
      </w:r>
    </w:hyperlink>
    <w:r>
      <w:rPr>
        <w:rFonts w:cs="David"/>
      </w:rPr>
      <w:tab/>
    </w:r>
    <w:r>
      <w:rPr>
        <w:rFonts w:cs="David"/>
        <w:noProof/>
        <w:lang w:eastAsia="en-US"/>
      </w:rPr>
      <w:drawing>
        <wp:inline distT="0" distB="0" distL="0" distR="0" wp14:anchorId="4342717F" wp14:editId="6708E0E3">
          <wp:extent cx="448945" cy="282575"/>
          <wp:effectExtent l="0" t="0" r="8255" b="3175"/>
          <wp:docPr id="3" name="תמונה 3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</w:rPr>
      <w:tab/>
    </w:r>
    <w:r>
      <w:rPr>
        <w:rFonts w:cs="David" w:hint="cs"/>
        <w:sz w:val="20"/>
        <w:rtl/>
      </w:rPr>
      <w:t xml:space="preserve">שער הממשלה: </w:t>
    </w:r>
    <w:r>
      <w:rPr>
        <w:rFonts w:cs="David"/>
      </w:rPr>
      <w:t>www.gov.il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6" w:rsidRDefault="00094706" w:rsidP="00094706">
    <w:pPr>
      <w:pStyle w:val="NormalWeb"/>
      <w:pBdr>
        <w:top w:val="single" w:sz="6" w:space="1" w:color="auto"/>
      </w:pBdr>
      <w:tabs>
        <w:tab w:val="center" w:pos="4822"/>
        <w:tab w:val="right" w:pos="9624"/>
      </w:tabs>
      <w:bidi/>
      <w:ind w:firstLine="11"/>
      <w:jc w:val="both"/>
      <w:rPr>
        <w:rFonts w:cs="David"/>
      </w:rPr>
    </w:pPr>
    <w:r>
      <w:rPr>
        <w:rFonts w:cs="David" w:hint="cs"/>
        <w:sz w:val="20"/>
        <w:rtl/>
      </w:rPr>
      <w:t xml:space="preserve">רח' קפלן 1 ירושלים </w:t>
    </w:r>
    <w:r w:rsidR="00B7265B">
      <w:rPr>
        <w:rFonts w:cs="David" w:hint="cs"/>
        <w:sz w:val="20"/>
        <w:rtl/>
      </w:rPr>
      <w:t>9103002</w:t>
    </w:r>
    <w:r>
      <w:rPr>
        <w:rFonts w:cs="David" w:hint="cs"/>
        <w:sz w:val="20"/>
        <w:rtl/>
      </w:rPr>
      <w:t xml:space="preserve"> ת.ד 3100 טל': 02-5317200 02 פקס': 02-5695335</w:t>
    </w:r>
    <w:r>
      <w:rPr>
        <w:rFonts w:cs="David" w:hint="cs"/>
        <w:sz w:val="20"/>
        <w:rtl/>
      </w:rPr>
      <w:br/>
      <w:t xml:space="preserve">אוצר ברשת: </w:t>
    </w:r>
    <w:hyperlink r:id="rId1" w:history="1">
      <w:r>
        <w:rPr>
          <w:rStyle w:val="Hyperlink"/>
          <w:rFonts w:hint="cs"/>
        </w:rPr>
        <w:t>www.mof.gov.il</w:t>
      </w:r>
    </w:hyperlink>
    <w:r>
      <w:rPr>
        <w:rFonts w:cs="David"/>
      </w:rPr>
      <w:tab/>
    </w:r>
    <w:r>
      <w:rPr>
        <w:rFonts w:cs="David"/>
        <w:noProof/>
        <w:lang w:eastAsia="en-US"/>
      </w:rPr>
      <w:drawing>
        <wp:inline distT="0" distB="0" distL="0" distR="0" wp14:anchorId="75540346" wp14:editId="330E7CF5">
          <wp:extent cx="448945" cy="282575"/>
          <wp:effectExtent l="0" t="0" r="8255" b="3175"/>
          <wp:docPr id="1" name="תמונה 1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</w:rPr>
      <w:tab/>
    </w:r>
    <w:r>
      <w:rPr>
        <w:rFonts w:cs="David" w:hint="cs"/>
        <w:sz w:val="20"/>
        <w:rtl/>
      </w:rPr>
      <w:t xml:space="preserve">שער הממשלה: </w:t>
    </w:r>
    <w:r>
      <w:rPr>
        <w:rFonts w:cs="David"/>
      </w:rPr>
      <w:t>www.gov.il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56" w:rsidRDefault="00A90C56" w:rsidP="00094706">
      <w:r>
        <w:separator/>
      </w:r>
    </w:p>
  </w:footnote>
  <w:footnote w:type="continuationSeparator" w:id="0">
    <w:p w:rsidR="00A90C56" w:rsidRDefault="00A90C56" w:rsidP="0009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7" w:rsidRDefault="009E7447" w:rsidP="009E7447">
    <w:pPr>
      <w:pStyle w:val="Header"/>
      <w:jc w:val="center"/>
      <w:rPr>
        <w:b/>
        <w:bCs/>
        <w:szCs w:val="40"/>
        <w:rtl/>
      </w:rPr>
    </w:pPr>
    <w:r>
      <w:rPr>
        <w:b/>
        <w:bCs/>
        <w:szCs w:val="40"/>
        <w:rtl/>
      </w:rPr>
      <w:t>מדינת ישראל</w:t>
    </w:r>
  </w:p>
  <w:p w:rsidR="009E7447" w:rsidRPr="009E7447" w:rsidRDefault="009E7447" w:rsidP="009E7447">
    <w:pPr>
      <w:pStyle w:val="Header"/>
      <w:jc w:val="center"/>
      <w:rPr>
        <w:b/>
        <w:bCs/>
        <w:szCs w:val="32"/>
      </w:rPr>
    </w:pPr>
    <w:r>
      <w:rPr>
        <w:b/>
        <w:bCs/>
        <w:szCs w:val="32"/>
        <w:rtl/>
      </w:rPr>
      <w:t>משרד האוצר - אגף שוק ההון, ביטוח וח</w:t>
    </w:r>
    <w:r>
      <w:rPr>
        <w:rFonts w:hint="cs"/>
        <w:b/>
        <w:bCs/>
        <w:szCs w:val="32"/>
        <w:rtl/>
      </w:rPr>
      <w:t>י</w:t>
    </w:r>
    <w:r>
      <w:rPr>
        <w:b/>
        <w:bCs/>
        <w:szCs w:val="32"/>
        <w:rtl/>
      </w:rPr>
      <w:t>סכון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D37"/>
    <w:multiLevelType w:val="multilevel"/>
    <w:tmpl w:val="2C7611E6"/>
    <w:numStyleLink w:val="-0"/>
  </w:abstractNum>
  <w:abstractNum w:abstractNumId="4">
    <w:nsid w:val="477D4CEE"/>
    <w:multiLevelType w:val="multilevel"/>
    <w:tmpl w:val="2C7611E6"/>
    <w:numStyleLink w:val="-0"/>
  </w:abstractNum>
  <w:abstractNum w:abstractNumId="5">
    <w:nsid w:val="52C63965"/>
    <w:multiLevelType w:val="multilevel"/>
    <w:tmpl w:val="CB2CFB36"/>
    <w:numStyleLink w:val="-"/>
  </w:abstractNum>
  <w:abstractNum w:abstractNumId="6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6"/>
    <w:rsid w:val="00003492"/>
    <w:rsid w:val="00014182"/>
    <w:rsid w:val="00035BAD"/>
    <w:rsid w:val="00036FE0"/>
    <w:rsid w:val="00047C97"/>
    <w:rsid w:val="000520B7"/>
    <w:rsid w:val="000568CE"/>
    <w:rsid w:val="00066383"/>
    <w:rsid w:val="00093B9D"/>
    <w:rsid w:val="00094706"/>
    <w:rsid w:val="000B7B88"/>
    <w:rsid w:val="000C04AE"/>
    <w:rsid w:val="000C4589"/>
    <w:rsid w:val="000E6098"/>
    <w:rsid w:val="000E632C"/>
    <w:rsid w:val="0010326C"/>
    <w:rsid w:val="001132B9"/>
    <w:rsid w:val="00117B55"/>
    <w:rsid w:val="001611C6"/>
    <w:rsid w:val="00164B30"/>
    <w:rsid w:val="0018292D"/>
    <w:rsid w:val="00190477"/>
    <w:rsid w:val="001A7C42"/>
    <w:rsid w:val="001B3783"/>
    <w:rsid w:val="001C4F6D"/>
    <w:rsid w:val="001D55DD"/>
    <w:rsid w:val="001E548A"/>
    <w:rsid w:val="00273D48"/>
    <w:rsid w:val="00275887"/>
    <w:rsid w:val="00280FE0"/>
    <w:rsid w:val="002942E4"/>
    <w:rsid w:val="002A54A3"/>
    <w:rsid w:val="002A7FEA"/>
    <w:rsid w:val="002C0272"/>
    <w:rsid w:val="002D4643"/>
    <w:rsid w:val="002D7712"/>
    <w:rsid w:val="002E38F4"/>
    <w:rsid w:val="002F197C"/>
    <w:rsid w:val="00324269"/>
    <w:rsid w:val="00325E01"/>
    <w:rsid w:val="0034683A"/>
    <w:rsid w:val="00361114"/>
    <w:rsid w:val="0037116D"/>
    <w:rsid w:val="00376217"/>
    <w:rsid w:val="003840FE"/>
    <w:rsid w:val="00393C6A"/>
    <w:rsid w:val="003A0370"/>
    <w:rsid w:val="003A1D7A"/>
    <w:rsid w:val="003A75DB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53DBD"/>
    <w:rsid w:val="00483DB8"/>
    <w:rsid w:val="004C127D"/>
    <w:rsid w:val="004C32D7"/>
    <w:rsid w:val="004C5538"/>
    <w:rsid w:val="004D65A1"/>
    <w:rsid w:val="004E479D"/>
    <w:rsid w:val="004F3773"/>
    <w:rsid w:val="005028F9"/>
    <w:rsid w:val="00505D36"/>
    <w:rsid w:val="00512009"/>
    <w:rsid w:val="00515321"/>
    <w:rsid w:val="00515E5C"/>
    <w:rsid w:val="00534452"/>
    <w:rsid w:val="005371D8"/>
    <w:rsid w:val="00556BE2"/>
    <w:rsid w:val="00592C73"/>
    <w:rsid w:val="005D42E4"/>
    <w:rsid w:val="00600BFA"/>
    <w:rsid w:val="00600F1F"/>
    <w:rsid w:val="00602DAD"/>
    <w:rsid w:val="006309B0"/>
    <w:rsid w:val="00633E9F"/>
    <w:rsid w:val="0065184D"/>
    <w:rsid w:val="0066664E"/>
    <w:rsid w:val="00681339"/>
    <w:rsid w:val="00687332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6E6843"/>
    <w:rsid w:val="006F1A26"/>
    <w:rsid w:val="006F2FF9"/>
    <w:rsid w:val="00705800"/>
    <w:rsid w:val="00706164"/>
    <w:rsid w:val="00733ECD"/>
    <w:rsid w:val="00735D55"/>
    <w:rsid w:val="007379D3"/>
    <w:rsid w:val="00743847"/>
    <w:rsid w:val="00751B50"/>
    <w:rsid w:val="00757313"/>
    <w:rsid w:val="00757879"/>
    <w:rsid w:val="007611DA"/>
    <w:rsid w:val="00781298"/>
    <w:rsid w:val="00793E5C"/>
    <w:rsid w:val="007A373A"/>
    <w:rsid w:val="007D4118"/>
    <w:rsid w:val="007E2692"/>
    <w:rsid w:val="007F1C2E"/>
    <w:rsid w:val="0080160A"/>
    <w:rsid w:val="00804FF1"/>
    <w:rsid w:val="0082739B"/>
    <w:rsid w:val="008340E8"/>
    <w:rsid w:val="00836C14"/>
    <w:rsid w:val="00864DB3"/>
    <w:rsid w:val="00867AE5"/>
    <w:rsid w:val="00870D8A"/>
    <w:rsid w:val="00894207"/>
    <w:rsid w:val="008965BE"/>
    <w:rsid w:val="008B39D7"/>
    <w:rsid w:val="008C286C"/>
    <w:rsid w:val="008C6EFB"/>
    <w:rsid w:val="008E11D8"/>
    <w:rsid w:val="008E77BE"/>
    <w:rsid w:val="00910BC9"/>
    <w:rsid w:val="00915C9A"/>
    <w:rsid w:val="00935E81"/>
    <w:rsid w:val="00986444"/>
    <w:rsid w:val="009870E8"/>
    <w:rsid w:val="00990A24"/>
    <w:rsid w:val="00995802"/>
    <w:rsid w:val="009B31C5"/>
    <w:rsid w:val="009B64FE"/>
    <w:rsid w:val="009E52B5"/>
    <w:rsid w:val="009E6769"/>
    <w:rsid w:val="009E7447"/>
    <w:rsid w:val="009F6FB6"/>
    <w:rsid w:val="009F7F7A"/>
    <w:rsid w:val="00A15876"/>
    <w:rsid w:val="00A15D5D"/>
    <w:rsid w:val="00A30921"/>
    <w:rsid w:val="00A458F5"/>
    <w:rsid w:val="00A52C53"/>
    <w:rsid w:val="00A5751E"/>
    <w:rsid w:val="00A610FA"/>
    <w:rsid w:val="00A67A4F"/>
    <w:rsid w:val="00A7396A"/>
    <w:rsid w:val="00A73972"/>
    <w:rsid w:val="00A84333"/>
    <w:rsid w:val="00A84658"/>
    <w:rsid w:val="00A90C56"/>
    <w:rsid w:val="00AA4752"/>
    <w:rsid w:val="00AB5360"/>
    <w:rsid w:val="00AD0167"/>
    <w:rsid w:val="00AD023F"/>
    <w:rsid w:val="00AE1D80"/>
    <w:rsid w:val="00AE4861"/>
    <w:rsid w:val="00AF1C47"/>
    <w:rsid w:val="00B03E2B"/>
    <w:rsid w:val="00B041F7"/>
    <w:rsid w:val="00B11594"/>
    <w:rsid w:val="00B311D4"/>
    <w:rsid w:val="00B429D7"/>
    <w:rsid w:val="00B43EFB"/>
    <w:rsid w:val="00B57BA2"/>
    <w:rsid w:val="00B60EE6"/>
    <w:rsid w:val="00B67385"/>
    <w:rsid w:val="00B7265B"/>
    <w:rsid w:val="00B867E4"/>
    <w:rsid w:val="00B93390"/>
    <w:rsid w:val="00B93A25"/>
    <w:rsid w:val="00BB393A"/>
    <w:rsid w:val="00BC2A7E"/>
    <w:rsid w:val="00BC70C9"/>
    <w:rsid w:val="00BD67E7"/>
    <w:rsid w:val="00C01906"/>
    <w:rsid w:val="00C171DC"/>
    <w:rsid w:val="00C27AC8"/>
    <w:rsid w:val="00C37F33"/>
    <w:rsid w:val="00C4367D"/>
    <w:rsid w:val="00C65FA4"/>
    <w:rsid w:val="00C75F7C"/>
    <w:rsid w:val="00C84445"/>
    <w:rsid w:val="00C84ABA"/>
    <w:rsid w:val="00C92852"/>
    <w:rsid w:val="00CA61AF"/>
    <w:rsid w:val="00CB40A4"/>
    <w:rsid w:val="00CC356E"/>
    <w:rsid w:val="00CD6DB8"/>
    <w:rsid w:val="00CD7BC1"/>
    <w:rsid w:val="00CE0517"/>
    <w:rsid w:val="00CF44BB"/>
    <w:rsid w:val="00CF6A92"/>
    <w:rsid w:val="00D24A2A"/>
    <w:rsid w:val="00D33979"/>
    <w:rsid w:val="00D35AF1"/>
    <w:rsid w:val="00D66453"/>
    <w:rsid w:val="00D731DA"/>
    <w:rsid w:val="00D74F39"/>
    <w:rsid w:val="00D969C1"/>
    <w:rsid w:val="00DD5320"/>
    <w:rsid w:val="00DE069A"/>
    <w:rsid w:val="00DE7CC8"/>
    <w:rsid w:val="00DF73FF"/>
    <w:rsid w:val="00E41B31"/>
    <w:rsid w:val="00E56588"/>
    <w:rsid w:val="00E95EEF"/>
    <w:rsid w:val="00EA6729"/>
    <w:rsid w:val="00EC303E"/>
    <w:rsid w:val="00EC3718"/>
    <w:rsid w:val="00EE7C2E"/>
    <w:rsid w:val="00EF71D7"/>
    <w:rsid w:val="00EF7CC9"/>
    <w:rsid w:val="00F00D41"/>
    <w:rsid w:val="00F0592A"/>
    <w:rsid w:val="00F25ABF"/>
    <w:rsid w:val="00F479C5"/>
    <w:rsid w:val="00F509E4"/>
    <w:rsid w:val="00F64885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6"/>
    <w:pPr>
      <w:bidi/>
      <w:spacing w:before="0" w:after="0" w:line="240" w:lineRule="auto"/>
      <w:ind w:firstLine="720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ind w:firstLine="0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ind w:firstLine="0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ind w:firstLine="0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ind w:firstLine="0"/>
      <w:jc w:val="both"/>
      <w:outlineLvl w:val="3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4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ind w:firstLine="0"/>
      <w:jc w:val="both"/>
      <w:outlineLvl w:val="5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6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 w:firstLine="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  <w:ind w:firstLine="0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 w:firstLine="0"/>
      <w:jc w:val="both"/>
    </w:pPr>
    <w:rPr>
      <w:rFonts w:eastAsiaTheme="minorHAnsi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firstLine="0"/>
      <w:jc w:val="both"/>
    </w:pPr>
    <w:rPr>
      <w:rFonts w:eastAsiaTheme="minorHAns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 w:firstLine="0"/>
      <w:jc w:val="both"/>
    </w:pPr>
    <w:rPr>
      <w:rFonts w:eastAsiaTheme="minorHAns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 w:firstLine="0"/>
      <w:jc w:val="both"/>
    </w:pPr>
    <w:rPr>
      <w:rFonts w:eastAsiaTheme="minorHAns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 w:firstLine="0"/>
      <w:jc w:val="both"/>
    </w:pPr>
    <w:rPr>
      <w:rFonts w:eastAsiaTheme="minorHAns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 w:firstLine="0"/>
      <w:jc w:val="both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Footer">
    <w:name w:val="footer"/>
    <w:basedOn w:val="Normal"/>
    <w:link w:val="FooterChar"/>
    <w:rsid w:val="00094706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706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094706"/>
    <w:rPr>
      <w:color w:val="0000FF"/>
      <w:u w:val="single"/>
    </w:rPr>
  </w:style>
  <w:style w:type="paragraph" w:styleId="NormalWeb">
    <w:name w:val="Normal (Web)"/>
    <w:basedOn w:val="Normal"/>
    <w:rsid w:val="00094706"/>
    <w:pPr>
      <w:bidi w:val="0"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6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094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06"/>
    <w:rPr>
      <w:rFonts w:ascii="Times New Roman" w:eastAsia="Times New Roman" w:hAnsi="Times New Roman" w:cs="David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6"/>
    <w:pPr>
      <w:bidi/>
      <w:spacing w:before="0" w:after="0" w:line="240" w:lineRule="auto"/>
      <w:ind w:firstLine="720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ind w:firstLine="0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ind w:firstLine="0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ind w:firstLine="0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ind w:firstLine="0"/>
      <w:jc w:val="both"/>
      <w:outlineLvl w:val="3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4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ind w:firstLine="0"/>
      <w:jc w:val="both"/>
      <w:outlineLvl w:val="5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6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 w:firstLine="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  <w:ind w:firstLine="0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 w:firstLine="0"/>
      <w:jc w:val="both"/>
    </w:pPr>
    <w:rPr>
      <w:rFonts w:eastAsiaTheme="minorHAnsi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firstLine="0"/>
      <w:jc w:val="both"/>
    </w:pPr>
    <w:rPr>
      <w:rFonts w:eastAsiaTheme="minorHAns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 w:firstLine="0"/>
      <w:jc w:val="both"/>
    </w:pPr>
    <w:rPr>
      <w:rFonts w:eastAsiaTheme="minorHAns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 w:firstLine="0"/>
      <w:jc w:val="both"/>
    </w:pPr>
    <w:rPr>
      <w:rFonts w:eastAsiaTheme="minorHAns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 w:firstLine="0"/>
      <w:jc w:val="both"/>
    </w:pPr>
    <w:rPr>
      <w:rFonts w:eastAsiaTheme="minorHAns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 w:firstLine="0"/>
      <w:jc w:val="both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Footer">
    <w:name w:val="footer"/>
    <w:basedOn w:val="Normal"/>
    <w:link w:val="FooterChar"/>
    <w:rsid w:val="00094706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706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094706"/>
    <w:rPr>
      <w:color w:val="0000FF"/>
      <w:u w:val="single"/>
    </w:rPr>
  </w:style>
  <w:style w:type="paragraph" w:styleId="NormalWeb">
    <w:name w:val="Normal (Web)"/>
    <w:basedOn w:val="Normal"/>
    <w:rsid w:val="00094706"/>
    <w:pPr>
      <w:bidi w:val="0"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6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094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06"/>
    <w:rPr>
      <w:rFonts w:ascii="Times New Roman" w:eastAsia="Times New Roman" w:hAnsi="Times New Roman"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FDA8B39079CB64BAC559E1752826592" ma:contentTypeVersion="4" ma:contentTypeDescription="צור מסמך חדש." ma:contentTypeScope="" ma:versionID="72e536dcbc4ecd8f5fefe5f33fcb7f27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ba52f55b885ca5ae3335260a4007edcc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ia53b9f18d984e01914f4b79710425b7" minOccurs="0"/>
                <xsd:element ref="ns2:TaxCatchAll" minOccurs="0"/>
                <xsd:element ref="ns2:TaxCatchAllLabel" minOccurs="0"/>
                <xsd:element ref="ns2:e4b5484c9c824b148c38bfcb2bd74c0d" minOccurs="0"/>
                <xsd:element ref="ns2:kb4cc1381c4248d7a2dfa3f1be0c86c0" minOccurs="0"/>
                <xsd:element ref="ns2:o80fb9e8b9d445b0bb174fdcd68ee89c" minOccurs="0"/>
                <xsd:element ref="ns2:l34dc5595392493c8311535275827f74" minOccurs="0"/>
                <xsd:element ref="ns2:j92457fac7d145f98e698f5712f6a6a4" minOccurs="0"/>
                <xsd:element ref="ns2:o68cd33f8d3a45abb273b6e406faee3d" minOccurs="0"/>
                <xsd:element ref="ns2:b76e59bb9f5947a781773f53cc6e9460" minOccurs="0"/>
                <xsd:element ref="ns2:e09eddfac2354f9ab04a226e27f86f1f" minOccurs="0"/>
                <xsd:element ref="ns2:aa1c885e8039426686f6c49672b09953" minOccurs="0"/>
                <xsd:element ref="ns2:n612d9597dc7466f957352ce79be86f3" minOccurs="0"/>
                <xsd:element ref="ns1:PublishingStartDate" minOccurs="0"/>
                <xsd:element ref="ns1:PublishingExpirationDate" minOccurs="0"/>
                <xsd:element ref="ns2:Mof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3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ia53b9f18d984e01914f4b79710425b7" ma:index="8" nillable="true" ma:taxonomy="true" ma:internalName="ia53b9f18d984e01914f4b79710425b7" ma:taxonomyFieldName="MMDAudience" ma:displayName="MMDAudience" ma:default="" ma:fieldId="{2a53b9f1-8d98-4e01-914f-4b79710425b7}" ma:taxonomyMulti="true" ma:sspId="d827811f-dea7-4a29-b54a-c9228db73c39" ma:termSetId="81e45943-23c2-4109-8875-059bec4079da" ma:anchorId="34070f2b-4092-41f2-8b6e-c220ee347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b5484c9c824b148c38bfcb2bd74c0d" ma:index="12" nillable="true" ma:taxonomy="true" ma:internalName="e4b5484c9c824b148c38bfcb2bd74c0d" ma:taxonomyFieldName="MMDJobDescription" ma:displayName="MMDJobDescription" ma:default="" ma:fieldId="{e4b5484c-9c82-4b14-8c38-bfcb2bd74c0d}" ma:sspId="d827811f-dea7-4a29-b54a-c9228db73c39" ma:termSetId="81e45943-23c2-4109-8875-059bec4079da" ma:anchorId="1a909479-0b01-4d8f-8fb7-cbbc1687e8f1" ma:open="false" ma:isKeyword="false">
      <xsd:complexType>
        <xsd:sequence>
          <xsd:element ref="pc:Terms" minOccurs="0" maxOccurs="1"/>
        </xsd:sequence>
      </xsd:complexType>
    </xsd:element>
    <xsd:element name="kb4cc1381c4248d7a2dfa3f1be0c86c0" ma:index="14" nillable="true" ma:taxonomy="true" ma:internalName="kb4cc1381c4248d7a2dfa3f1be0c86c0" ma:taxonomyFieldName="MMDKeywords" ma:displayName="MMDKeywords" ma:default="" ma:fieldId="{4b4cc138-1c42-48d7-a2df-a3f1be0c86c0}" ma:taxonomyMulti="true" ma:sspId="d827811f-dea7-4a29-b54a-c9228db73c39" ma:termSetId="81e45943-23c2-4109-8875-059bec4079da" ma:anchorId="15d331fa-6baa-448e-8759-7c342d8402ea" ma:open="false" ma:isKeyword="false">
      <xsd:complexType>
        <xsd:sequence>
          <xsd:element ref="pc:Terms" minOccurs="0" maxOccurs="1"/>
        </xsd:sequence>
      </xsd:complexType>
    </xsd:element>
    <xsd:element name="o80fb9e8b9d445b0bb174fdcd68ee89c" ma:index="16" nillable="true" ma:taxonomy="true" ma:internalName="o80fb9e8b9d445b0bb174fdcd68ee89c" ma:taxonomyFieldName="MMDLiveEvent" ma:displayName="MMDLiveEvent" ma:default="" ma:fieldId="{880fb9e8-b9d4-45b0-bb17-4fdcd68ee89c}" ma:sspId="d827811f-dea7-4a29-b54a-c9228db73c39" ma:termSetId="81e45943-23c2-4109-8875-059bec4079da" ma:anchorId="5e8b8ad0-eeb0-4bda-9bef-7517a1f3340f" ma:open="false" ma:isKeyword="false">
      <xsd:complexType>
        <xsd:sequence>
          <xsd:element ref="pc:Terms" minOccurs="0" maxOccurs="1"/>
        </xsd:sequence>
      </xsd:complexType>
    </xsd:element>
    <xsd:element name="l34dc5595392493c8311535275827f74" ma:index="18" nillable="true" ma:taxonomy="true" ma:internalName="l34dc5595392493c8311535275827f74" ma:taxonomyFieldName="MMDResponsibleOffice" ma:displayName="MMDResponsibleOffice" ma:default="" ma:fieldId="{534dc559-5392-493c-8311-535275827f74}" ma:sspId="d827811f-dea7-4a29-b54a-c9228db73c39" ma:termSetId="81e45943-23c2-4109-8875-059bec4079da" ma:anchorId="23eeccfc-9988-4d51-b789-d1a77ea8348c" ma:open="false" ma:isKeyword="false">
      <xsd:complexType>
        <xsd:sequence>
          <xsd:element ref="pc:Terms" minOccurs="0" maxOccurs="1"/>
        </xsd:sequence>
      </xsd:complexType>
    </xsd:element>
    <xsd:element name="j92457fac7d145f98e698f5712f6a6a4" ma:index="20" nillable="true" ma:taxonomy="true" ma:internalName="j92457fac7d145f98e698f5712f6a6a4" ma:taxonomyFieldName="MMDResponsibleUnit" ma:displayName="MMDResponsibleUnit" ma:default="" ma:fieldId="{392457fa-c7d1-45f9-8e69-8f5712f6a6a4}" ma:sspId="d827811f-dea7-4a29-b54a-c9228db73c39" ma:termSetId="81e45943-23c2-4109-8875-059bec4079da" ma:anchorId="3bdf475d-e38d-4b34-8299-73c2066d8322" ma:open="false" ma:isKeyword="false">
      <xsd:complexType>
        <xsd:sequence>
          <xsd:element ref="pc:Terms" minOccurs="0" maxOccurs="1"/>
        </xsd:sequence>
      </xsd:complexType>
    </xsd:element>
    <xsd:element name="o68cd33f8d3a45abb273b6e406faee3d" ma:index="22" nillable="true" ma:taxonomy="true" ma:internalName="o68cd33f8d3a45abb273b6e406faee3d" ma:taxonomyFieldName="MMDServiceLang" ma:displayName="MMDServiceLang" ma:default="" ma:fieldId="{868cd33f-8d3a-45ab-b273-b6e406faee3d}" ma:sspId="d827811f-dea7-4a29-b54a-c9228db73c39" ma:termSetId="81e45943-23c2-4109-8875-059bec4079da" ma:anchorId="f399919e-8697-409a-aaea-d4e5d2844d8b" ma:open="false" ma:isKeyword="false">
      <xsd:complexType>
        <xsd:sequence>
          <xsd:element ref="pc:Terms" minOccurs="0" maxOccurs="1"/>
        </xsd:sequence>
      </xsd:complexType>
    </xsd:element>
    <xsd:element name="b76e59bb9f5947a781773f53cc6e9460" ma:index="24" nillable="true" ma:taxonomy="true" ma:internalName="b76e59bb9f5947a781773f53cc6e9460" ma:taxonomyFieldName="MMDStatus" ma:displayName="MMDStatus" ma:default="" ma:fieldId="{b76e59bb-9f59-47a7-8177-3f53cc6e9460}" ma:sspId="d827811f-dea7-4a29-b54a-c9228db73c39" ma:termSetId="81e45943-23c2-4109-8875-059bec4079da" ma:anchorId="16fb90fa-07e3-45cb-b262-12779a7ad9f7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26" nillable="true" ma:taxonomy="true" ma:internalName="e09eddfac2354f9ab04a226e27f86f1f" ma:taxonomyFieldName="MMDSubjects" ma:displayName="MMD נושאים" ma:default="" ma:fieldId="{e09eddfa-c235-4f9a-b04a-226e27f86f1f}" ma:taxonomyMulti="true" ma:sspId="d827811f-dea7-4a29-b54a-c9228db73c39" ma:termSetId="81e45943-23c2-4109-8875-059bec4079da" ma:anchorId="fe51dda7-6a1b-4b64-af2c-7200e1ef7e7a" ma:open="true" ma:isKeyword="false">
      <xsd:complexType>
        <xsd:sequence>
          <xsd:element ref="pc:Terms" minOccurs="0" maxOccurs="1"/>
        </xsd:sequence>
      </xsd:complexType>
    </xsd:element>
    <xsd:element name="aa1c885e8039426686f6c49672b09953" ma:index="28" nillable="true" ma:taxonomy="true" ma:internalName="aa1c885e8039426686f6c49672b09953" ma:taxonomyFieldName="MMDTypes" ma:displayName="MMDTypes" ma:default="" ma:fieldId="{aa1c885e-8039-4266-86f6-c49672b09953}" ma:sspId="d827811f-dea7-4a29-b54a-c9228db73c39" ma:termSetId="81e45943-23c2-4109-8875-059bec4079da" ma:anchorId="226f2308-be0c-4e06-b36e-423ee4befb74" ma:open="false" ma:isKeyword="false">
      <xsd:complexType>
        <xsd:sequence>
          <xsd:element ref="pc:Terms" minOccurs="0" maxOccurs="1"/>
        </xsd:sequence>
      </xsd:complexType>
    </xsd:element>
    <xsd:element name="n612d9597dc7466f957352ce79be86f3" ma:index="30" nillable="true" ma:taxonomy="true" ma:internalName="n612d9597dc7466f957352ce79be86f3" ma:taxonomyFieldName="MMDUnitsName" ma:displayName="MMDUnitsName" ma:default="" ma:fieldId="{7612d959-7dc7-466f-9573-52ce79be86f3}" ma:sspId="d827811f-dea7-4a29-b54a-c9228db73c39" ma:termSetId="81e45943-23c2-4109-8875-059bec4079da" ma:anchorId="625c2686-859d-4ced-94f0-7dded8208e47" ma:open="false" ma:isKeyword="false">
      <xsd:complexType>
        <xsd:sequence>
          <xsd:element ref="pc:Terms" minOccurs="0" maxOccurs="1"/>
        </xsd:sequence>
      </xsd:complexType>
    </xsd:element>
    <xsd:element name="MofYear" ma:index="34" nillable="true" ma:displayName="שנה" ma:list="{127dbbc6-1496-495a-b17d-5ad6ee394163}" ma:internalName="MofYear" ma:readOnly="false" ma:showField="Title" ma:web="a46656d4-8850-49b3-aebd-68bd05f7f43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2457fac7d145f98e698f5712f6a6a4 xmlns="a46656d4-8850-49b3-aebd-68bd05f7f43d">
      <Terms xmlns="http://schemas.microsoft.com/office/infopath/2007/PartnerControls"/>
    </j92457fac7d145f98e698f5712f6a6a4>
    <TaxCatchAll xmlns="a46656d4-8850-49b3-aebd-68bd05f7f43d"/>
    <e4b5484c9c824b148c38bfcb2bd74c0d xmlns="a46656d4-8850-49b3-aebd-68bd05f7f43d">
      <Terms xmlns="http://schemas.microsoft.com/office/infopath/2007/PartnerControls"/>
    </e4b5484c9c824b148c38bfcb2bd74c0d>
    <o68cd33f8d3a45abb273b6e406faee3d xmlns="a46656d4-8850-49b3-aebd-68bd05f7f43d">
      <Terms xmlns="http://schemas.microsoft.com/office/infopath/2007/PartnerControls"/>
    </o68cd33f8d3a45abb273b6e406faee3d>
    <kb4cc1381c4248d7a2dfa3f1be0c86c0 xmlns="a46656d4-8850-49b3-aebd-68bd05f7f43d">
      <Terms xmlns="http://schemas.microsoft.com/office/infopath/2007/PartnerControls"/>
    </kb4cc1381c4248d7a2dfa3f1be0c86c0>
    <o80fb9e8b9d445b0bb174fdcd68ee89c xmlns="a46656d4-8850-49b3-aebd-68bd05f7f43d">
      <Terms xmlns="http://schemas.microsoft.com/office/infopath/2007/PartnerControls"/>
    </o80fb9e8b9d445b0bb174fdcd68ee89c>
    <n612d9597dc7466f957352ce79be86f3 xmlns="a46656d4-8850-49b3-aebd-68bd05f7f43d">
      <Terms xmlns="http://schemas.microsoft.com/office/infopath/2007/PartnerControls"/>
    </n612d9597dc7466f957352ce79be86f3>
    <aa1c885e8039426686f6c49672b09953 xmlns="a46656d4-8850-49b3-aebd-68bd05f7f43d">
      <Terms xmlns="http://schemas.microsoft.com/office/infopath/2007/PartnerControls"/>
    </aa1c885e8039426686f6c49672b09953>
    <e09eddfac2354f9ab04a226e27f86f1f xmlns="a46656d4-8850-49b3-aebd-68bd05f7f43d">
      <Terms xmlns="http://schemas.microsoft.com/office/infopath/2007/PartnerControls"/>
    </e09eddfac2354f9ab04a226e27f86f1f>
    <PublishingExpirationDate xmlns="http://schemas.microsoft.com/sharepoint/v3" xsi:nil="true"/>
    <PublishingStartDate xmlns="http://schemas.microsoft.com/sharepoint/v3" xsi:nil="true"/>
    <l34dc5595392493c8311535275827f74 xmlns="a46656d4-8850-49b3-aebd-68bd05f7f43d">
      <Terms xmlns="http://schemas.microsoft.com/office/infopath/2007/PartnerControls"/>
    </l34dc5595392493c8311535275827f74>
    <ia53b9f18d984e01914f4b79710425b7 xmlns="a46656d4-8850-49b3-aebd-68bd05f7f43d">
      <Terms xmlns="http://schemas.microsoft.com/office/infopath/2007/PartnerControls"/>
    </ia53b9f18d984e01914f4b79710425b7>
    <MofYear xmlns="a46656d4-8850-49b3-aebd-68bd05f7f43d" xsi:nil="true"/>
    <b76e59bb9f5947a781773f53cc6e9460 xmlns="a46656d4-8850-49b3-aebd-68bd05f7f43d">
      <Terms xmlns="http://schemas.microsoft.com/office/infopath/2007/PartnerControls"/>
    </b76e59bb9f5947a781773f53cc6e9460>
  </documentManagement>
</p:properties>
</file>

<file path=customXml/itemProps1.xml><?xml version="1.0" encoding="utf-8"?>
<ds:datastoreItem xmlns:ds="http://schemas.openxmlformats.org/officeDocument/2006/customXml" ds:itemID="{1F92FB0C-965A-4778-A756-CEB2FD42A7CD}"/>
</file>

<file path=customXml/itemProps2.xml><?xml version="1.0" encoding="utf-8"?>
<ds:datastoreItem xmlns:ds="http://schemas.openxmlformats.org/officeDocument/2006/customXml" ds:itemID="{2057C3CA-607E-40A1-99D1-1CFC803EB72E}"/>
</file>

<file path=customXml/itemProps3.xml><?xml version="1.0" encoding="utf-8"?>
<ds:datastoreItem xmlns:ds="http://schemas.openxmlformats.org/officeDocument/2006/customXml" ds:itemID="{CBC2362E-E99E-46AC-B34B-3B3CC9E56823}"/>
</file>

<file path=customXml/itemProps4.xml><?xml version="1.0" encoding="utf-8"?>
<ds:datastoreItem xmlns:ds="http://schemas.openxmlformats.org/officeDocument/2006/customXml" ds:itemID="{F5DDD25E-AE4A-4D58-8E5D-3D9BDF65C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עמדת ממונה: תשלום גוף מוסדי לבעל רישיון</dc:title>
  <dc:creator>זאב תמיר</dc:creator>
  <cp:lastModifiedBy>ליאור לנקרי</cp:lastModifiedBy>
  <cp:revision>2</cp:revision>
  <cp:lastPrinted>2015-01-18T09:12:00Z</cp:lastPrinted>
  <dcterms:created xsi:type="dcterms:W3CDTF">2015-01-18T12:00:00Z</dcterms:created>
  <dcterms:modified xsi:type="dcterms:W3CDTF">2015-01-18T12:00:00Z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0x0101006FDA8B39079CB64BAC559E1752826592</vt:lpwstr>
  </property>
  <property fmtid="{D5CDD505-2E9C-101B-9397-08002B2CF9AE}" pid="3" name="MMDUnitsName">
    <vt:lpwstr/>
  </property>
  <property fmtid="{D5CDD505-2E9C-101B-9397-08002B2CF9AE}" pid="4" name="MMDResponsibleUnit">
    <vt:lpwstr/>
  </property>
  <property fmtid="{D5CDD505-2E9C-101B-9397-08002B2CF9AE}" pid="5" name="MMDServiceLang">
    <vt:lpwstr/>
  </property>
  <property fmtid="{D5CDD505-2E9C-101B-9397-08002B2CF9AE}" pid="6" name="MMDJobDescription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LiveEvent">
    <vt:lpwstr/>
  </property>
  <property fmtid="{D5CDD505-2E9C-101B-9397-08002B2CF9AE}" pid="11" name="MMDSubjects">
    <vt:lpwstr/>
  </property>
  <property fmtid="{D5CDD505-2E9C-101B-9397-08002B2CF9AE}" pid="12" name="MMDTypes">
    <vt:lpwstr/>
  </property>
  <property fmtid="{D5CDD505-2E9C-101B-9397-08002B2CF9AE}" pid="13" name="MMDResponsibleOffice">
    <vt:lpwstr/>
  </property>
</Properties>
</file>